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F1" w:rsidRDefault="00696D08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>Пресс-релиз</w:t>
      </w:r>
    </w:p>
    <w:p w:rsidR="00037EF1" w:rsidRDefault="00696D08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16.09.2022 г.</w:t>
      </w:r>
    </w:p>
    <w:p w:rsidR="00037EF1" w:rsidRDefault="00696D08">
      <w:pPr>
        <w:spacing w:before="120" w:after="12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Удмуртской Республике стартует </w:t>
      </w:r>
    </w:p>
    <w:p w:rsidR="00037EF1" w:rsidRDefault="00696D0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Национальный чемпионат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2022 года</w:t>
      </w:r>
    </w:p>
    <w:p w:rsidR="00037EF1" w:rsidRDefault="00696D08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 19 по 28</w:t>
      </w:r>
      <w:r w:rsidR="008C6C9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сентября в Удмуртской Республике пройдет Подготовительный этап Национального чемпионата по профессиональному мастерству среди инвалидов и лиц с ограниченными возможностями здоровья (ОВЗ) </w:t>
      </w:r>
      <w:hyperlink r:id="rId8" w:tooltip="https://abilympics-russia.ru/" w:history="1">
        <w:r>
          <w:rPr>
            <w:rStyle w:val="Hyperlink0"/>
            <w:rFonts w:eastAsia="Arial Unicode MS"/>
            <w:b w:val="0"/>
          </w:rPr>
          <w:t>«</w:t>
        </w:r>
        <w:proofErr w:type="spellStart"/>
        <w:r>
          <w:rPr>
            <w:rStyle w:val="Hyperlink0"/>
            <w:rFonts w:eastAsia="Arial Unicode MS"/>
            <w:b w:val="0"/>
          </w:rPr>
          <w:t>Абилимпикс</w:t>
        </w:r>
        <w:proofErr w:type="spellEnd"/>
        <w:r>
          <w:rPr>
            <w:rStyle w:val="Hyperlink0"/>
            <w:rFonts w:eastAsia="Arial Unicode MS"/>
            <w:b w:val="0"/>
          </w:rPr>
          <w:t>»</w:t>
        </w:r>
      </w:hyperlink>
      <w:r>
        <w:rPr>
          <w:rStyle w:val="afb"/>
          <w:rFonts w:ascii="Times New Roman" w:hAnsi="Times New Roman"/>
          <w:b/>
          <w:bCs/>
        </w:rPr>
        <w:t xml:space="preserve"> президентской платформы </w:t>
      </w:r>
      <w:hyperlink r:id="rId9" w:tooltip="https://rsv.ru/" w:history="1">
        <w:r>
          <w:rPr>
            <w:rStyle w:val="Hyperlink0"/>
            <w:rFonts w:eastAsia="Arial Unicode MS"/>
            <w:b w:val="0"/>
          </w:rPr>
          <w:t>«Россия – страна возможностей»</w:t>
        </w:r>
      </w:hyperlink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в очно-дистанционном формате</w:t>
      </w:r>
      <w:r>
        <w:rPr>
          <w:rStyle w:val="afb"/>
          <w:rFonts w:ascii="Times New Roman" w:hAnsi="Times New Roman"/>
          <w:b/>
          <w:bCs/>
        </w:rPr>
        <w:t xml:space="preserve">. Соревнования состоятся в городах Ижевске, Глазове, Сарапуле, поселке </w:t>
      </w:r>
      <w:proofErr w:type="spellStart"/>
      <w:r>
        <w:rPr>
          <w:rStyle w:val="afb"/>
          <w:rFonts w:ascii="Times New Roman" w:hAnsi="Times New Roman"/>
          <w:b/>
          <w:bCs/>
        </w:rPr>
        <w:t>Ува</w:t>
      </w:r>
      <w:proofErr w:type="spellEnd"/>
      <w:r>
        <w:rPr>
          <w:rStyle w:val="afb"/>
          <w:rFonts w:ascii="Times New Roman" w:hAnsi="Times New Roman"/>
          <w:b/>
          <w:bCs/>
        </w:rPr>
        <w:t xml:space="preserve"> на базе </w:t>
      </w:r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 xml:space="preserve">БПОУ УР «Ижевский торгово-экономический техникум», БПОУ УР «Удмуртский республиканский социально-педагогический колледж», АПОУ УР «Ижевский политехнический колледж», БПОУ «Ижевский </w:t>
      </w:r>
      <w:proofErr w:type="spellStart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>агростроительный</w:t>
      </w:r>
      <w:proofErr w:type="spellEnd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 xml:space="preserve"> техникум», БПОУ УР «Ижевский машиностроительный техникум им. С.Н. Борина», АПОУ УР «Ижевский промышленно-экономический колледж», «БПОУ УР «</w:t>
      </w:r>
      <w:proofErr w:type="spellStart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>Глазовский</w:t>
      </w:r>
      <w:proofErr w:type="spellEnd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 xml:space="preserve"> политехнический колледж», КПОУ УР «</w:t>
      </w:r>
      <w:proofErr w:type="spellStart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>Сарапульский</w:t>
      </w:r>
      <w:proofErr w:type="spellEnd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 xml:space="preserve"> колледж для инвалидов», БПОУ УР «</w:t>
      </w:r>
      <w:proofErr w:type="spellStart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>Увинский</w:t>
      </w:r>
      <w:proofErr w:type="spellEnd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 xml:space="preserve"> профессиональный колледж», ФГБОУ ВО «</w:t>
      </w:r>
      <w:proofErr w:type="spellStart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>Глазовский</w:t>
      </w:r>
      <w:proofErr w:type="spellEnd"/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 xml:space="preserve"> государственный педагогический институт им. В.Г. Короленко», МБОУ «Средняя общеобразовательная школа № 53»,</w:t>
      </w:r>
      <w:r>
        <w:rPr>
          <w:rStyle w:val="afb"/>
          <w:rFonts w:ascii="Times New Roman" w:hAnsi="Times New Roman"/>
          <w:b/>
          <w:bCs/>
        </w:rPr>
        <w:t xml:space="preserve"> МБОУ УР ДО Инженерно-технический центр «Форсайт», в которых от </w:t>
      </w:r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>Удмуртской Республики</w:t>
      </w:r>
      <w:r>
        <w:rPr>
          <w:rStyle w:val="afb"/>
          <w:rFonts w:ascii="Times New Roman" w:hAnsi="Times New Roman"/>
          <w:b/>
          <w:bCs/>
        </w:rPr>
        <w:t xml:space="preserve"> примут участие </w:t>
      </w:r>
      <w:r>
        <w:rPr>
          <w:rStyle w:val="afb"/>
          <w:rFonts w:ascii="Times New Roman" w:hAnsi="Times New Roman"/>
          <w:b/>
          <w:bCs/>
          <w:shd w:val="clear" w:color="auto" w:fill="FFFFFF" w:themeFill="background1"/>
        </w:rPr>
        <w:t>40 человек</w:t>
      </w:r>
      <w:r>
        <w:rPr>
          <w:rStyle w:val="afb"/>
          <w:rFonts w:ascii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в возрастных категориях: школьники и студенты. </w:t>
      </w:r>
    </w:p>
    <w:p w:rsidR="00037EF1" w:rsidRDefault="00696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</w:rPr>
      </w:pPr>
      <w:r>
        <w:rPr>
          <w:rStyle w:val="afb"/>
          <w:rFonts w:ascii="Times New Roman" w:hAnsi="Times New Roman"/>
        </w:rPr>
        <w:t>Соревнования в очно-дистанционном формате предусматривают организацию площадок проведения в регионе проживания участника и Центра управления соревнованиями в Москве. К участию допущены участники, прошедшие отборочный этап в 2021 году, а также победители региональных чемпионатов 2022 года.</w:t>
      </w:r>
    </w:p>
    <w:p w:rsidR="00037EF1" w:rsidRDefault="00696D08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</w:rPr>
      </w:pPr>
      <w:r>
        <w:rPr>
          <w:rStyle w:val="afb"/>
          <w:rFonts w:ascii="Times New Roman" w:hAnsi="Times New Roman"/>
          <w:i/>
          <w:iCs/>
        </w:rPr>
        <w:t>«Чемпионат «</w:t>
      </w:r>
      <w:proofErr w:type="spellStart"/>
      <w:r>
        <w:rPr>
          <w:rStyle w:val="afb"/>
          <w:rFonts w:ascii="Times New Roman" w:hAnsi="Times New Roman"/>
          <w:i/>
          <w:iCs/>
        </w:rPr>
        <w:t>Абилимпикс</w:t>
      </w:r>
      <w:proofErr w:type="spellEnd"/>
      <w:r>
        <w:rPr>
          <w:rStyle w:val="afb"/>
          <w:rFonts w:ascii="Times New Roman" w:hAnsi="Times New Roman"/>
          <w:i/>
          <w:iCs/>
        </w:rPr>
        <w:t>» является эффективным способом трудоустройства,</w:t>
      </w:r>
      <w:r>
        <w:rPr>
          <w:rStyle w:val="afb"/>
          <w:rFonts w:ascii="Times New Roman" w:hAnsi="Times New Roman"/>
        </w:rPr>
        <w:t xml:space="preserve"> – считает первый заместитель генерального директора АНО «Россия – страна возможностей» </w:t>
      </w:r>
      <w:r>
        <w:rPr>
          <w:rStyle w:val="afb"/>
          <w:rFonts w:ascii="Times New Roman" w:hAnsi="Times New Roman"/>
          <w:b/>
          <w:bCs/>
        </w:rPr>
        <w:t>Алексей Агафонов</w:t>
      </w:r>
      <w:r>
        <w:rPr>
          <w:rStyle w:val="afb"/>
          <w:rFonts w:ascii="Times New Roman" w:hAnsi="Times New Roman"/>
        </w:rPr>
        <w:t xml:space="preserve">. – </w:t>
      </w:r>
      <w:r>
        <w:rPr>
          <w:rStyle w:val="afb"/>
          <w:rFonts w:ascii="Times New Roman" w:hAnsi="Times New Roman"/>
          <w:i/>
          <w:iCs/>
        </w:rPr>
        <w:t xml:space="preserve">Но здесь участники не только решают вопросы своей занятости и стремятся к победе, они доказывают, что люди с инвалидностью на равных с остальными участвуют в жизни общества и являются профессионалами своего дела». </w:t>
      </w:r>
    </w:p>
    <w:p w:rsidR="00037EF1" w:rsidRDefault="00696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</w:rPr>
      </w:pPr>
      <w:r>
        <w:rPr>
          <w:rStyle w:val="afb"/>
          <w:rFonts w:ascii="Times New Roman" w:hAnsi="Times New Roman"/>
        </w:rPr>
        <w:t>Из-за сложной эпидемиологической обстановки финал конкурса 2021 года, который должен был состояться в Москве, перенесли на 2022 год. В связи с этим в текущем году в Национальном чемпионате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>» принимают участие победители региональных конкурсов не только этого, но и прошло года.</w:t>
      </w:r>
    </w:p>
    <w:p w:rsidR="00037EF1" w:rsidRDefault="00696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</w:rPr>
      </w:pPr>
      <w:r>
        <w:rPr>
          <w:rStyle w:val="afb"/>
          <w:rFonts w:ascii="Times New Roman" w:hAnsi="Times New Roman"/>
          <w:i/>
          <w:iCs/>
        </w:rPr>
        <w:t xml:space="preserve">«Из-за нестабильной ситуации, связанной с </w:t>
      </w:r>
      <w:proofErr w:type="spellStart"/>
      <w:r>
        <w:rPr>
          <w:rStyle w:val="afb"/>
          <w:rFonts w:ascii="Times New Roman" w:hAnsi="Times New Roman"/>
          <w:i/>
          <w:iCs/>
        </w:rPr>
        <w:t>коронавирусом</w:t>
      </w:r>
      <w:proofErr w:type="spellEnd"/>
      <w:r>
        <w:rPr>
          <w:rStyle w:val="afb"/>
          <w:rFonts w:ascii="Times New Roman" w:hAnsi="Times New Roman"/>
          <w:i/>
          <w:iCs/>
        </w:rPr>
        <w:t>, было принято решение ограничить количество участников соревнований в Москве,</w:t>
      </w:r>
      <w:r>
        <w:rPr>
          <w:rStyle w:val="afb"/>
          <w:rFonts w:ascii="Times New Roman" w:hAnsi="Times New Roman"/>
        </w:rPr>
        <w:t xml:space="preserve"> - рассказывает исполняющий обязанности руководителя Национального центра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 xml:space="preserve">» </w:t>
      </w:r>
      <w:r>
        <w:rPr>
          <w:rStyle w:val="afb"/>
          <w:rFonts w:ascii="Times New Roman" w:hAnsi="Times New Roman"/>
          <w:b/>
          <w:bCs/>
        </w:rPr>
        <w:t xml:space="preserve">Алексей </w:t>
      </w:r>
      <w:proofErr w:type="spellStart"/>
      <w:r>
        <w:rPr>
          <w:rStyle w:val="afb"/>
          <w:rFonts w:ascii="Times New Roman" w:hAnsi="Times New Roman"/>
          <w:b/>
          <w:bCs/>
        </w:rPr>
        <w:t>Васильчук</w:t>
      </w:r>
      <w:proofErr w:type="spellEnd"/>
      <w:r>
        <w:rPr>
          <w:rStyle w:val="afb"/>
          <w:rFonts w:ascii="Times New Roman" w:hAnsi="Times New Roman"/>
        </w:rPr>
        <w:t xml:space="preserve">. - </w:t>
      </w:r>
      <w:r>
        <w:rPr>
          <w:rStyle w:val="afb"/>
          <w:rFonts w:ascii="Times New Roman" w:hAnsi="Times New Roman"/>
          <w:i/>
          <w:iCs/>
        </w:rPr>
        <w:t xml:space="preserve">Поэтому часть конкурса пройдет в очном, часть – в очно-дистанционном формате. В </w:t>
      </w:r>
      <w:r>
        <w:rPr>
          <w:rStyle w:val="afb"/>
          <w:rFonts w:ascii="Times New Roman" w:hAnsi="Times New Roman"/>
          <w:i/>
          <w:iCs/>
        </w:rPr>
        <w:lastRenderedPageBreak/>
        <w:t>2020 году Национальный чемпионат прошел полностью в дистанционной форме, опыт приобрели. Так что, уверены, что и в этом году с поставленными задачами справимся»</w:t>
      </w:r>
      <w:r>
        <w:rPr>
          <w:rStyle w:val="afb"/>
          <w:rFonts w:ascii="Times New Roman" w:hAnsi="Times New Roman"/>
        </w:rPr>
        <w:t>.</w:t>
      </w:r>
    </w:p>
    <w:p w:rsidR="00037EF1" w:rsidRDefault="00696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</w:rPr>
      </w:pPr>
      <w:r>
        <w:rPr>
          <w:rStyle w:val="afb"/>
          <w:rFonts w:ascii="Times New Roman" w:hAnsi="Times New Roman"/>
        </w:rPr>
        <w:t xml:space="preserve">В региональном чемпионате </w:t>
      </w:r>
      <w:r>
        <w:rPr>
          <w:rStyle w:val="afb"/>
          <w:rFonts w:ascii="Times New Roman" w:hAnsi="Times New Roman"/>
          <w:shd w:val="clear" w:color="auto" w:fill="FFFFFF" w:themeFill="background1"/>
        </w:rPr>
        <w:t>Удмуртской Республики</w:t>
      </w:r>
      <w:r>
        <w:rPr>
          <w:rStyle w:val="afb"/>
          <w:rFonts w:ascii="Times New Roman" w:hAnsi="Times New Roman"/>
        </w:rPr>
        <w:t xml:space="preserve"> 2021 года приняли участие </w:t>
      </w:r>
      <w:r>
        <w:rPr>
          <w:rStyle w:val="afb"/>
          <w:rFonts w:ascii="Times New Roman" w:hAnsi="Times New Roman"/>
          <w:shd w:val="clear" w:color="auto" w:fill="FFFFFF" w:themeFill="background1"/>
        </w:rPr>
        <w:t xml:space="preserve">186 </w:t>
      </w:r>
      <w:r>
        <w:rPr>
          <w:rStyle w:val="afb"/>
          <w:rFonts w:ascii="Times New Roman" w:hAnsi="Times New Roman"/>
        </w:rPr>
        <w:t xml:space="preserve">человек по </w:t>
      </w:r>
      <w:r>
        <w:rPr>
          <w:rStyle w:val="afb"/>
          <w:rFonts w:ascii="Times New Roman" w:hAnsi="Times New Roman"/>
          <w:shd w:val="clear" w:color="auto" w:fill="FFFFFF" w:themeFill="background1"/>
        </w:rPr>
        <w:t>31</w:t>
      </w:r>
      <w:r>
        <w:rPr>
          <w:rStyle w:val="afb"/>
          <w:rFonts w:ascii="Times New Roman" w:hAnsi="Times New Roman"/>
        </w:rPr>
        <w:t xml:space="preserve">компетенции. </w:t>
      </w:r>
      <w:r>
        <w:rPr>
          <w:rStyle w:val="afb"/>
          <w:rFonts w:ascii="Times New Roman" w:hAnsi="Times New Roman"/>
          <w:shd w:val="clear" w:color="auto" w:fill="FFFFFF" w:themeFill="background1"/>
        </w:rPr>
        <w:t>10</w:t>
      </w:r>
      <w:r>
        <w:rPr>
          <w:rStyle w:val="afb"/>
          <w:rFonts w:ascii="Times New Roman" w:hAnsi="Times New Roman"/>
        </w:rPr>
        <w:t xml:space="preserve"> участников региона получили право участия в Национальном чемпионате 2022 года, в том числе – </w:t>
      </w:r>
      <w:r>
        <w:rPr>
          <w:rStyle w:val="afb"/>
          <w:rFonts w:ascii="Times New Roman" w:hAnsi="Times New Roman"/>
          <w:shd w:val="clear" w:color="auto" w:fill="FFFFFF" w:themeFill="background1"/>
        </w:rPr>
        <w:t>6</w:t>
      </w:r>
      <w:r>
        <w:rPr>
          <w:rStyle w:val="afb"/>
          <w:rFonts w:ascii="Times New Roman" w:hAnsi="Times New Roman"/>
        </w:rPr>
        <w:t xml:space="preserve"> по основным компетенциям, </w:t>
      </w:r>
      <w:r>
        <w:rPr>
          <w:rStyle w:val="afb"/>
          <w:rFonts w:ascii="Times New Roman" w:hAnsi="Times New Roman"/>
          <w:shd w:val="clear" w:color="auto" w:fill="FFFFFF" w:themeFill="background1"/>
        </w:rPr>
        <w:t xml:space="preserve">4 </w:t>
      </w:r>
      <w:r>
        <w:rPr>
          <w:rStyle w:val="afb"/>
          <w:rFonts w:ascii="Times New Roman" w:hAnsi="Times New Roman"/>
        </w:rPr>
        <w:t>– по дополнительным.</w:t>
      </w:r>
    </w:p>
    <w:p w:rsidR="00037EF1" w:rsidRDefault="00696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</w:rPr>
      </w:pPr>
      <w:r>
        <w:rPr>
          <w:rStyle w:val="afb"/>
          <w:rFonts w:ascii="Times New Roman" w:hAnsi="Times New Roman"/>
        </w:rPr>
        <w:t xml:space="preserve">Соревнования в очно-дистанционном формате в </w:t>
      </w:r>
      <w:r>
        <w:rPr>
          <w:rStyle w:val="afb"/>
          <w:rFonts w:ascii="Times New Roman" w:hAnsi="Times New Roman"/>
          <w:shd w:val="clear" w:color="auto" w:fill="FFFFFF" w:themeFill="background1"/>
        </w:rPr>
        <w:t>(город)</w:t>
      </w:r>
      <w:r>
        <w:rPr>
          <w:rStyle w:val="afb"/>
          <w:rFonts w:ascii="Times New Roman" w:hAnsi="Times New Roman"/>
        </w:rPr>
        <w:t xml:space="preserve"> </w:t>
      </w:r>
      <w:r>
        <w:rPr>
          <w:rStyle w:val="afb"/>
          <w:rFonts w:ascii="Times New Roman" w:hAnsi="Times New Roman"/>
          <w:shd w:val="clear" w:color="auto" w:fill="FFFFFF" w:themeFill="background1"/>
        </w:rPr>
        <w:t xml:space="preserve">завершатся 28 </w:t>
      </w:r>
      <w:r>
        <w:rPr>
          <w:rStyle w:val="afb"/>
          <w:rFonts w:ascii="Times New Roman" w:hAnsi="Times New Roman"/>
        </w:rPr>
        <w:t>сентября.</w:t>
      </w:r>
    </w:p>
    <w:p w:rsidR="00037EF1" w:rsidRDefault="00696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</w:rPr>
      </w:pPr>
      <w:r>
        <w:rPr>
          <w:rStyle w:val="afb"/>
          <w:rFonts w:ascii="Times New Roman" w:hAnsi="Times New Roman"/>
        </w:rPr>
        <w:t xml:space="preserve">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 xml:space="preserve">» </w:t>
      </w:r>
      <w:r>
        <w:rPr>
          <w:rStyle w:val="afb"/>
          <w:rFonts w:ascii="Times New Roman" w:hAnsi="Times New Roman"/>
          <w:i/>
          <w:iCs/>
        </w:rPr>
        <w:t xml:space="preserve">– </w:t>
      </w:r>
      <w:r>
        <w:rPr>
          <w:rStyle w:val="afb"/>
          <w:rFonts w:ascii="Times New Roman" w:hAnsi="Times New Roman"/>
        </w:rPr>
        <w:t>это международное некоммерческое движение, зародившееся в Японии и развивающееся в мире с 1971 года. В настоящее время в международное движение входит 53 страны. В России чемпионаты по профессиональному мастерству среди инвалидов и лиц с ОВЗ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 xml:space="preserve">» являются частью президентской платформы </w:t>
      </w:r>
      <w:hyperlink r:id="rId10" w:tooltip="https://rsv.ru/" w:history="1">
        <w:r>
          <w:rPr>
            <w:rStyle w:val="Hyperlink1"/>
            <w:rFonts w:eastAsia="Arial Unicode MS"/>
          </w:rPr>
          <w:t>«Россия – страна возможностей»</w:t>
        </w:r>
      </w:hyperlink>
      <w:r>
        <w:rPr>
          <w:rStyle w:val="afb"/>
          <w:rFonts w:ascii="Times New Roman" w:hAnsi="Times New Roman"/>
        </w:rPr>
        <w:t>. Начиная с 2015 года в нашей стране конкурсы проходят ежегодно, Центры развития движения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>» открыты во всех 85 регионах России.</w:t>
      </w:r>
    </w:p>
    <w:p w:rsidR="00037EF1" w:rsidRDefault="00696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</w:rPr>
      </w:pPr>
      <w:r>
        <w:rPr>
          <w:rStyle w:val="afb"/>
          <w:rFonts w:ascii="Times New Roman" w:hAnsi="Times New Roman"/>
        </w:rPr>
        <w:t xml:space="preserve">В 2022 году </w:t>
      </w:r>
      <w:r>
        <w:rPr>
          <w:rStyle w:val="afb"/>
          <w:rFonts w:ascii="Times New Roman" w:hAnsi="Times New Roman"/>
          <w:lang w:val="en-US"/>
        </w:rPr>
        <w:t>VII</w:t>
      </w:r>
      <w:r>
        <w:rPr>
          <w:rStyle w:val="afb"/>
          <w:rFonts w:ascii="Times New Roman" w:hAnsi="Times New Roman"/>
        </w:rPr>
        <w:t xml:space="preserve"> и </w:t>
      </w:r>
      <w:r>
        <w:rPr>
          <w:rStyle w:val="afb"/>
          <w:rFonts w:ascii="Times New Roman" w:hAnsi="Times New Roman"/>
          <w:lang w:val="en-US"/>
        </w:rPr>
        <w:t>VIII</w:t>
      </w:r>
      <w:r>
        <w:rPr>
          <w:rStyle w:val="afb"/>
          <w:rFonts w:ascii="Times New Roman" w:hAnsi="Times New Roman"/>
        </w:rPr>
        <w:t xml:space="preserve"> Национальные чемпионаты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 xml:space="preserve">» пройдут в объединенном формате. </w:t>
      </w:r>
      <w:r>
        <w:rPr>
          <w:rFonts w:ascii="Times New Roman" w:eastAsia="Times New Roman" w:hAnsi="Times New Roman" w:cs="Times New Roman"/>
        </w:rPr>
        <w:t xml:space="preserve">Соревнования будут проводится в очном и очно-дистанционном форматах по 79 компетенциям. Из них по 39 компетенциям </w:t>
      </w:r>
      <w:r>
        <w:rPr>
          <w:rStyle w:val="afb"/>
          <w:rFonts w:ascii="Times New Roman" w:hAnsi="Times New Roman"/>
          <w:i/>
          <w:iCs/>
        </w:rPr>
        <w:t xml:space="preserve">– </w:t>
      </w:r>
      <w:r>
        <w:rPr>
          <w:rFonts w:ascii="Times New Roman" w:eastAsia="Times New Roman" w:hAnsi="Times New Roman" w:cs="Times New Roman"/>
        </w:rPr>
        <w:t>с 19 по 29 сентября в очно-дистанционном формате на площадках регионов, а конкурс по 40 основным компетенциям пройдет с 28 по 31 октября на основной площадке МВО «Манеж» (Гостиный двор) и дополнительных площадках образовательных организаций Москвы. В Подготовительном этапе Национального чемпионата примут участие более 3 000 конкурсантов из 85 субъектов Российской Федерации.</w:t>
      </w:r>
    </w:p>
    <w:p w:rsidR="00037EF1" w:rsidRDefault="00696D08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b/>
          <w:sz w:val="22"/>
          <w:szCs w:val="22"/>
          <w:u w:val="single"/>
        </w:rPr>
      </w:pPr>
      <w:proofErr w:type="spellStart"/>
      <w:r>
        <w:rPr>
          <w:rStyle w:val="afb"/>
          <w:rFonts w:ascii="Times New Roman" w:hAnsi="Times New Roman"/>
          <w:b/>
          <w:bCs/>
          <w:u w:val="single"/>
        </w:rPr>
        <w:t>Медиаматериалы</w:t>
      </w:r>
      <w:proofErr w:type="spellEnd"/>
      <w:r>
        <w:rPr>
          <w:rStyle w:val="afb"/>
          <w:rFonts w:ascii="Times New Roman" w:hAnsi="Times New Roman"/>
          <w:b/>
          <w:bCs/>
          <w:u w:val="single"/>
        </w:rPr>
        <w:t xml:space="preserve"> доступны по ссылке: </w:t>
      </w:r>
      <w:hyperlink r:id="rId11" w:tooltip="https://drive.google.com/file/d/1UTFMGfDhIGJ0csJtiZeG1_gJGiptpAbU/view?usp=sharing" w:history="1">
        <w:r>
          <w:rPr>
            <w:rStyle w:val="af9"/>
            <w:rFonts w:ascii="Times New Roman" w:hAnsi="Times New Roman"/>
            <w:b/>
            <w:bCs/>
            <w:color w:val="0070C0"/>
            <w:shd w:val="clear" w:color="auto" w:fill="FFFFFF" w:themeFill="background1"/>
          </w:rPr>
          <w:t>https://drive.google.com/file/d/1UTFMGfDhIGJ0csJtiZeG1_gJGiptpAbU/view?usp=sharing</w:t>
        </w:r>
      </w:hyperlink>
    </w:p>
    <w:p w:rsidR="00037EF1" w:rsidRDefault="00696D08">
      <w:pPr>
        <w:spacing w:before="120" w:after="120" w:line="288" w:lineRule="auto"/>
        <w:jc w:val="both"/>
        <w:rPr>
          <w:rStyle w:val="afb"/>
          <w:rFonts w:ascii="Times New Roman" w:hAnsi="Times New Roman"/>
          <w:b/>
          <w:bCs/>
          <w:sz w:val="22"/>
          <w:szCs w:val="22"/>
          <w:u w:val="single"/>
        </w:rPr>
      </w:pPr>
      <w:r>
        <w:rPr>
          <w:rStyle w:val="afb"/>
          <w:rFonts w:ascii="Times New Roman" w:hAnsi="Times New Roman"/>
          <w:b/>
          <w:bCs/>
          <w:sz w:val="22"/>
          <w:szCs w:val="22"/>
          <w:u w:val="single"/>
        </w:rPr>
        <w:t>Информационная справка:</w:t>
      </w:r>
    </w:p>
    <w:p w:rsidR="00037EF1" w:rsidRDefault="00696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sz w:val="22"/>
          <w:szCs w:val="22"/>
        </w:rPr>
      </w:pPr>
      <w:r>
        <w:rPr>
          <w:rStyle w:val="afb"/>
          <w:rFonts w:ascii="Times New Roman" w:hAnsi="Times New Roman"/>
          <w:b/>
          <w:bCs/>
          <w:sz w:val="22"/>
          <w:szCs w:val="22"/>
        </w:rPr>
        <w:t>Чемпионаты по профессиональному мастерству среди инвалидов и лиц с ОВЗ «</w:t>
      </w:r>
      <w:proofErr w:type="spellStart"/>
      <w:r>
        <w:rPr>
          <w:rStyle w:val="afb"/>
          <w:rFonts w:ascii="Times New Roman" w:hAnsi="Times New Roman"/>
          <w:b/>
          <w:bCs/>
          <w:sz w:val="22"/>
          <w:szCs w:val="22"/>
        </w:rPr>
        <w:t>Абилимпикс</w:t>
      </w:r>
      <w:proofErr w:type="spellEnd"/>
      <w:r>
        <w:rPr>
          <w:rStyle w:val="afb"/>
          <w:rFonts w:ascii="Times New Roman" w:hAnsi="Times New Roman"/>
          <w:b/>
          <w:bCs/>
          <w:sz w:val="22"/>
          <w:szCs w:val="22"/>
        </w:rPr>
        <w:t>» являются частью президентской платформы «Россия – страна возможностей».</w:t>
      </w:r>
      <w:r>
        <w:rPr>
          <w:rStyle w:val="afb"/>
          <w:rFonts w:ascii="Times New Roman" w:hAnsi="Times New Roman"/>
          <w:sz w:val="22"/>
          <w:szCs w:val="22"/>
        </w:rPr>
        <w:t xml:space="preserve"> 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социокультурной инклюзии в обществе. Оператором чемпионатного движения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Абилимпикс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>» в России является Национальный центр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Абилимпикс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>», созданный на базе ФГБОУ ДПО «Институт развития профессионального образования».</w:t>
      </w:r>
    </w:p>
    <w:p w:rsidR="00037EF1" w:rsidRDefault="00696D08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Автономная некоммерческая организация (АНО) «Россия – страна возможностей»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037EF1" w:rsidRDefault="00696D08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За 4 года работы платформы участниками её проектов стали более 15 миллионов человек из всех регионов России и 150 стран мира, а партнерами – более 1500 компаний, вузов, государственных и общественных организаций.</w:t>
      </w:r>
    </w:p>
    <w:p w:rsidR="00037EF1" w:rsidRDefault="00696D08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ТопБЛОГ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>», проект «Культурный код», фестиваль «Российская студенческая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Абилимпикс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>», конкурс «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Экософия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», Российская национальная премия «Студент года», движение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чемпионат, проект «Начни игру», программа поощрительных поездок «Больше, чем путешествие», в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>. проект «Больше, чем работа» и студенческие экспедиции «Открываем Россию заново», а также конкурс «Пишем будущее» для школьников и студентов ДНР и ЛНР.</w:t>
      </w:r>
    </w:p>
    <w:p w:rsidR="00037EF1" w:rsidRDefault="00696D08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В рамках деятельности АНО «Россия – страна возможностей» в феврале 2019 года создан образовательный центр – Мастерская управления «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Сенеж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>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форумов, в том числе форума «Территория смыслов».</w:t>
      </w:r>
    </w:p>
    <w:p w:rsidR="00037EF1" w:rsidRDefault="00696D08">
      <w:pPr>
        <w:widowControl w:val="0"/>
        <w:tabs>
          <w:tab w:val="left" w:pos="284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В рамках АНО «Россия – страна возможностей» в августе 2020 года создан департамент оценки и методологии.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«Россия – страна возможностей» и партнеров, создание и поддержка центров компетенций в университетах, проведение оценки, организация обучения и подготовки кадров для деятельности центров компетенций. В вузах в 25 регионах страны создано более 50 центров оценки и развития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надпрофессиональных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компетенций студентов.</w:t>
      </w:r>
    </w:p>
    <w:p w:rsidR="00037EF1" w:rsidRDefault="00696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b/>
          <w:bCs/>
        </w:rPr>
      </w:pPr>
      <w:r>
        <w:rPr>
          <w:rStyle w:val="afb"/>
          <w:rFonts w:ascii="Times New Roman" w:hAnsi="Times New Roman"/>
          <w:b/>
          <w:bCs/>
          <w:u w:val="single"/>
        </w:rPr>
        <w:t xml:space="preserve">Контактная информация: </w:t>
      </w:r>
    </w:p>
    <w:tbl>
      <w:tblPr>
        <w:tblStyle w:val="TableNormal"/>
        <w:tblW w:w="9496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8"/>
        <w:gridCol w:w="2976"/>
        <w:gridCol w:w="3402"/>
      </w:tblGrid>
      <w:tr w:rsidR="00037EF1">
        <w:trPr>
          <w:trHeight w:val="22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EF1" w:rsidRDefault="00696D0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Руководитель </w:t>
            </w:r>
          </w:p>
          <w:p w:rsidR="00037EF1" w:rsidRDefault="00696D08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Центра развития движения «</w:t>
            </w:r>
            <w:proofErr w:type="spellStart"/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Абилимпикс</w:t>
            </w:r>
            <w:proofErr w:type="spellEnd"/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» Удмуртской Республики</w:t>
            </w:r>
          </w:p>
          <w:p w:rsidR="00037EF1" w:rsidRDefault="00696D08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Галина Трегубова</w:t>
            </w:r>
          </w:p>
          <w:p w:rsidR="00037EF1" w:rsidRDefault="00696D08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  <w:t>+ 7 (3412) 46-17-09</w:t>
            </w:r>
          </w:p>
          <w:p w:rsidR="00037EF1" w:rsidRPr="008C6C91" w:rsidRDefault="0072071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Times New Roman" w:hAnsi="Times New Roman" w:cs="Times New Roman"/>
              </w:rPr>
            </w:pPr>
            <w:hyperlink r:id="rId12" w:history="1">
              <w:r w:rsidR="00696D08">
                <w:rPr>
                  <w:rStyle w:val="af9"/>
                  <w:rFonts w:ascii="Times New Roman" w:hAnsi="Times New Roman" w:cs="Times New Roman"/>
                  <w:sz w:val="20"/>
                  <w:szCs w:val="20"/>
                  <w:lang w:val="en-US"/>
                </w:rPr>
                <w:t>rumts</w:t>
              </w:r>
              <w:r w:rsidR="00696D08" w:rsidRPr="008C6C91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96D08">
                <w:rPr>
                  <w:rStyle w:val="af9"/>
                  <w:rFonts w:ascii="Times New Roman" w:hAnsi="Times New Roman" w:cs="Times New Roman"/>
                  <w:sz w:val="20"/>
                  <w:szCs w:val="20"/>
                  <w:lang w:val="en-US"/>
                </w:rPr>
                <w:t>itet</w:t>
              </w:r>
              <w:r w:rsidR="00696D08" w:rsidRPr="008C6C91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96D08">
                <w:rPr>
                  <w:rStyle w:val="af9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96D08" w:rsidRPr="008C6C91">
                <w:rPr>
                  <w:rStyle w:val="af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96D08">
                <w:rPr>
                  <w:rStyle w:val="af9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96D08" w:rsidRPr="008C6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EF1" w:rsidRDefault="00696D0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Руководитель пресс-службы </w:t>
            </w:r>
          </w:p>
          <w:p w:rsidR="00037EF1" w:rsidRDefault="00696D0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Национального Центра «</w:t>
            </w:r>
            <w:proofErr w:type="spellStart"/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Абилимпикс</w:t>
            </w:r>
            <w:proofErr w:type="spellEnd"/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:rsidR="00037EF1" w:rsidRDefault="00696D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Алена Бахрома</w:t>
            </w:r>
          </w:p>
          <w:p w:rsidR="00037EF1" w:rsidRDefault="00696D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+ 7 (902) 659-58-88</w:t>
            </w:r>
          </w:p>
          <w:p w:rsidR="00037EF1" w:rsidRDefault="0072071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mailto:alena.Bahroma@gmail.com" w:history="1">
              <w:r w:rsidR="00696D08">
                <w:rPr>
                  <w:rStyle w:val="Hyperlink3"/>
                  <w:rFonts w:eastAsia="Arial Unicode MS"/>
                </w:rPr>
                <w:t>alena.Bahroma@gmail.com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EF1" w:rsidRDefault="00696D0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Руководитель направления региональных коммуникаций АНО «Россия – страна возможностей»</w:t>
            </w:r>
          </w:p>
          <w:p w:rsidR="00037EF1" w:rsidRDefault="00696D0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Style w:val="afb"/>
                <w:rFonts w:ascii="Times New Roman" w:hAnsi="Times New Roman"/>
                <w:sz w:val="20"/>
                <w:szCs w:val="20"/>
              </w:rPr>
              <w:t>Барсегова</w:t>
            </w:r>
            <w:proofErr w:type="spellEnd"/>
          </w:p>
          <w:p w:rsidR="00037EF1" w:rsidRDefault="00696D0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+ 7 (926) 189-10-11</w:t>
            </w:r>
          </w:p>
          <w:p w:rsidR="00037EF1" w:rsidRDefault="0072071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</w:pPr>
            <w:hyperlink r:id="rId14" w:tooltip="mailto:elena.barsegova@rsv.ru" w:history="1">
              <w:r w:rsidR="00696D08">
                <w:rPr>
                  <w:rStyle w:val="Hyperlink3"/>
                  <w:rFonts w:eastAsia="Arial Unicode MS"/>
                </w:rPr>
                <w:t>elena.barsegova@rsv.ru</w:t>
              </w:r>
            </w:hyperlink>
          </w:p>
        </w:tc>
      </w:tr>
    </w:tbl>
    <w:p w:rsidR="00037EF1" w:rsidRDefault="00037E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ind w:left="432" w:hanging="432"/>
      </w:pPr>
    </w:p>
    <w:sectPr w:rsidR="00037EF1">
      <w:headerReference w:type="default" r:id="rId15"/>
      <w:footerReference w:type="default" r:id="rId16"/>
      <w:pgSz w:w="11900" w:h="16840"/>
      <w:pgMar w:top="1843" w:right="851" w:bottom="851" w:left="156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18" w:rsidRDefault="00720718">
      <w:r>
        <w:separator/>
      </w:r>
    </w:p>
  </w:endnote>
  <w:endnote w:type="continuationSeparator" w:id="0">
    <w:p w:rsidR="00720718" w:rsidRDefault="0072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 neue">
    <w:altName w:val="Wingdings 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F1" w:rsidRDefault="00037EF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18" w:rsidRDefault="00720718">
      <w:r>
        <w:separator/>
      </w:r>
    </w:p>
  </w:footnote>
  <w:footnote w:type="continuationSeparator" w:id="0">
    <w:p w:rsidR="00720718" w:rsidRDefault="00720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F1" w:rsidRDefault="00696D08">
    <w:pPr>
      <w:pStyle w:val="ac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5625465</wp:posOffset>
          </wp:positionH>
          <wp:positionV relativeFrom="page">
            <wp:posOffset>318770</wp:posOffset>
          </wp:positionV>
          <wp:extent cx="1390015" cy="530225"/>
          <wp:effectExtent l="0" t="0" r="0" b="0"/>
          <wp:wrapNone/>
          <wp:docPr id="1" name="officeArt object" descr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9" descr="Рисунок 19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90015" cy="53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4463415</wp:posOffset>
          </wp:positionH>
          <wp:positionV relativeFrom="page">
            <wp:posOffset>245745</wp:posOffset>
          </wp:positionV>
          <wp:extent cx="1005840" cy="676910"/>
          <wp:effectExtent l="0" t="0" r="0" b="0"/>
          <wp:wrapNone/>
          <wp:docPr id="2" name="officeArt object" descr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20" descr="Рисунок 20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05840" cy="676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F1"/>
    <w:rsid w:val="00037EF1"/>
    <w:rsid w:val="00583325"/>
    <w:rsid w:val="00696D08"/>
    <w:rsid w:val="00720718"/>
    <w:rsid w:val="008501DC"/>
    <w:rsid w:val="008C6C91"/>
    <w:rsid w:val="00D34AAB"/>
    <w:rsid w:val="00F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hAnsi="Calibri" w:cs="Arial Unicode MS"/>
      <w:color w:val="000000"/>
      <w:sz w:val="24"/>
      <w:szCs w:val="24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link w:val="ab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4"/>
      <w:szCs w:val="24"/>
    </w:r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fb">
    <w:name w:val="Нет"/>
  </w:style>
  <w:style w:type="character" w:customStyle="1" w:styleId="Hyperlink0">
    <w:name w:val="Hyperlink.0"/>
    <w:basedOn w:val="afb"/>
    <w:rPr>
      <w:rFonts w:ascii="Times New Roman" w:eastAsia="Times New Roman" w:hAnsi="Times New Roman" w:cs="Times New Roman"/>
      <w:b/>
      <w:bCs/>
      <w:color w:val="0563C1"/>
      <w:u w:val="single"/>
    </w:rPr>
  </w:style>
  <w:style w:type="character" w:customStyle="1" w:styleId="Hyperlink1">
    <w:name w:val="Hyperlink.1"/>
    <w:basedOn w:val="afb"/>
    <w:rPr>
      <w:rFonts w:ascii="Times New Roman" w:eastAsia="Times New Roman" w:hAnsi="Times New Roman" w:cs="Times New Roman"/>
      <w:color w:val="0563C1"/>
      <w:u w:val="singl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f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Hyperlink3">
    <w:name w:val="Hyperlink.3"/>
    <w:basedOn w:val="afb"/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hAnsi="Calibri" w:cs="Arial Unicode MS"/>
      <w:color w:val="000000"/>
      <w:sz w:val="24"/>
      <w:szCs w:val="24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link w:val="ab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4"/>
      <w:szCs w:val="24"/>
    </w:r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fb">
    <w:name w:val="Нет"/>
  </w:style>
  <w:style w:type="character" w:customStyle="1" w:styleId="Hyperlink0">
    <w:name w:val="Hyperlink.0"/>
    <w:basedOn w:val="afb"/>
    <w:rPr>
      <w:rFonts w:ascii="Times New Roman" w:eastAsia="Times New Roman" w:hAnsi="Times New Roman" w:cs="Times New Roman"/>
      <w:b/>
      <w:bCs/>
      <w:color w:val="0563C1"/>
      <w:u w:val="single"/>
    </w:rPr>
  </w:style>
  <w:style w:type="character" w:customStyle="1" w:styleId="Hyperlink1">
    <w:name w:val="Hyperlink.1"/>
    <w:basedOn w:val="afb"/>
    <w:rPr>
      <w:rFonts w:ascii="Times New Roman" w:eastAsia="Times New Roman" w:hAnsi="Times New Roman" w:cs="Times New Roman"/>
      <w:color w:val="0563C1"/>
      <w:u w:val="singl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f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Hyperlink3">
    <w:name w:val="Hyperlink.3"/>
    <w:basedOn w:val="afb"/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lympics-russia.ru/" TargetMode="External"/><Relationship Id="rId13" Type="http://schemas.openxmlformats.org/officeDocument/2006/relationships/hyperlink" Target="mailto:alena.Bahroma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umts.itet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UTFMGfDhIGJ0csJtiZeG1_gJGiptpAbU/view?usp=sha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hyperlink" Target="mailto:elena.barsegova@rsv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0824BCF-586D-48F6-8D38-79B9FC066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РУМЦ-1</dc:creator>
  <cp:lastModifiedBy>User</cp:lastModifiedBy>
  <cp:revision>2</cp:revision>
  <dcterms:created xsi:type="dcterms:W3CDTF">2022-09-23T04:12:00Z</dcterms:created>
  <dcterms:modified xsi:type="dcterms:W3CDTF">2022-09-23T04:12:00Z</dcterms:modified>
</cp:coreProperties>
</file>